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b/>
          <w:sz w:val="44"/>
          <w:szCs w:val="44"/>
          <w:lang w:eastAsia="zh-CN"/>
        </w:rPr>
      </w:pPr>
      <w:r>
        <w:rPr>
          <w:b/>
          <w:sz w:val="44"/>
          <w:szCs w:val="44"/>
        </w:rPr>
        <w:t>廊坊市</w:t>
      </w:r>
      <w:r>
        <w:rPr>
          <w:rFonts w:hint="eastAsia"/>
          <w:b/>
          <w:sz w:val="44"/>
          <w:szCs w:val="44"/>
          <w:lang w:eastAsia="zh-CN"/>
        </w:rPr>
        <w:t>大厂回族自治县</w:t>
      </w:r>
    </w:p>
    <w:p>
      <w:pPr>
        <w:widowControl/>
        <w:jc w:val="center"/>
        <w:rPr>
          <w:rFonts w:hint="eastAsia"/>
          <w:b/>
          <w:sz w:val="44"/>
          <w:szCs w:val="44"/>
          <w:lang w:eastAsia="zh-CN"/>
        </w:rPr>
        <w:sectPr>
          <w:pgSz w:w="11906" w:h="16838"/>
          <w:pgMar w:top="2098" w:right="1474" w:bottom="1985" w:left="1588" w:header="851" w:footer="992" w:gutter="0"/>
          <w:cols w:space="425" w:num="1"/>
          <w:docGrid w:type="lines" w:linePitch="312" w:charSpace="0"/>
        </w:sectPr>
      </w:pPr>
      <w:r>
        <w:rPr>
          <w:rFonts w:hint="eastAsia"/>
          <w:b/>
          <w:sz w:val="44"/>
          <w:szCs w:val="44"/>
          <w:lang w:eastAsia="zh-CN"/>
        </w:rPr>
        <w:t>城乡规划局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城乡规划局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pageBreakBefore w:val="0"/>
        <w:widowControl w:val="0"/>
        <w:numPr>
          <w:ilvl w:val="0"/>
          <w:numId w:val="1"/>
        </w:numPr>
        <w:kinsoku/>
        <w:wordWrap/>
        <w:overflowPunct/>
        <w:topLinePunct w:val="0"/>
        <w:autoSpaceDE/>
        <w:autoSpaceDN/>
        <w:bidi w:val="0"/>
        <w:adjustRightInd/>
        <w:snapToGrid/>
        <w:spacing w:before="0" w:after="0" w:line="560" w:lineRule="exact"/>
        <w:jc w:val="left"/>
        <w:textAlignment w:val="auto"/>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部门职责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（一）贯彻执行国家、省、市关于城乡规划的法律、法规、规定和政策，拟定全县城乡方面的规范性文件。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（二）组织编制城乡总体规划、中心城区控制性详细规划和城市设计；组织协调县有关部门编制各类专项规划；指导各镇、园区编制总体规划、控制性详细规划和村庄建设规划。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（三）参与全县国土资源利用总体规划和重大建设项目的前期论证。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（四）负责所编制城乡规划方案的公示、收集、整理并采纳群众的合理化建议和意见。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（五）负责协助县行政审批</w:t>
      </w:r>
      <w:r>
        <w:rPr>
          <w:rFonts w:hint="eastAsia" w:ascii="仿宋_GB2312" w:hAnsi="仿宋_GB2312" w:eastAsia="仿宋_GB2312" w:cs="仿宋_GB2312"/>
          <w:color w:val="000000"/>
          <w:sz w:val="32"/>
          <w:szCs w:val="32"/>
        </w:rPr>
        <w:t>机关办理《建设项目选址意见书》、《建设用地（含临时用地）规划许可证》和《建设工程（含临时建设）规划许可证》。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（六）负责协助县行政审批机关审查建设工程设计方案。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（七）负责城乡规划区范围内由本机关审批项目的规划条件核实工作。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（八）负责全县规划设计行业资质和市场管理工作。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（九）负责本行业人才队伍建设，组织开展法律、法规、业务知识培训和技术成果交流工作。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（十）负责城乡规划实施情况的监督检查工作。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（十一）负责征收城乡规划区内建设项目的基础设施配套费。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sz w:val="32"/>
          <w:szCs w:val="32"/>
        </w:rPr>
      </w:pPr>
      <w:r>
        <w:rPr>
          <w:rFonts w:hint="eastAsia" w:ascii="仿宋_GB2312" w:hAnsi="仿宋_GB2312" w:eastAsia="仿宋_GB2312" w:cs="仿宋_GB2312"/>
          <w:sz w:val="32"/>
          <w:szCs w:val="32"/>
        </w:rPr>
        <w:t>（十二）承办县政府和上级主管部门交办的其他工作。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p>
      <w:pPr>
        <w:jc w:val="center"/>
        <w:outlineLvl w:val="0"/>
        <w:rPr>
          <w:rFonts w:hint="eastAsia" w:ascii="仿宋" w:hAnsi="仿宋" w:eastAsia="仿宋"/>
          <w:b/>
          <w:bCs/>
          <w:sz w:val="32"/>
          <w:szCs w:val="32"/>
        </w:rPr>
      </w:pPr>
      <w:r>
        <w:rPr>
          <w:rFonts w:ascii="仿宋" w:hAnsi="仿宋" w:eastAsia="仿宋"/>
          <w:b/>
          <w:bCs/>
          <w:sz w:val="32"/>
          <w:szCs w:val="32"/>
        </w:rPr>
        <w:t>部门</w:t>
      </w:r>
      <w:r>
        <w:rPr>
          <w:rFonts w:hint="eastAsia" w:ascii="仿宋" w:hAnsi="仿宋" w:eastAsia="仿宋"/>
          <w:b/>
          <w:bCs/>
          <w:sz w:val="32"/>
          <w:szCs w:val="32"/>
        </w:rPr>
        <w:t>机构设置情况</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 w:hAnsi="仿宋" w:eastAsia="仿宋"/>
                <w:sz w:val="28"/>
                <w:szCs w:val="28"/>
              </w:rPr>
              <w:t>廊坊市大厂回族自治县城乡规划局</w:t>
            </w:r>
          </w:p>
        </w:tc>
        <w:tc>
          <w:tcPr>
            <w:tcW w:w="2445" w:type="dxa"/>
          </w:tcPr>
          <w:p>
            <w:pPr>
              <w:spacing w:after="0" w:line="560" w:lineRule="exact"/>
              <w:jc w:val="center"/>
              <w:rPr>
                <w:rFonts w:hint="eastAsia" w:ascii="仿宋_GB2312" w:eastAsia="仿宋" w:cs="ArialUnicodeMS" w:hAnsiTheme="minorHAnsi"/>
                <w:kern w:val="0"/>
                <w:sz w:val="28"/>
                <w:szCs w:val="28"/>
                <w:lang w:val="en-US" w:eastAsia="zh-CN"/>
              </w:rPr>
            </w:pPr>
            <w:r>
              <w:rPr>
                <w:rFonts w:hint="eastAsia" w:ascii="仿宋" w:hAnsi="仿宋" w:eastAsia="仿宋"/>
                <w:sz w:val="28"/>
                <w:szCs w:val="28"/>
                <w:lang w:val="en-US" w:eastAsia="zh-CN"/>
              </w:rPr>
              <w:t>参公</w:t>
            </w:r>
            <w:r>
              <w:rPr>
                <w:rFonts w:hint="eastAsia" w:ascii="仿宋" w:hAnsi="仿宋" w:eastAsia="仿宋"/>
                <w:sz w:val="28"/>
                <w:szCs w:val="28"/>
              </w:rPr>
              <w:t>事业</w:t>
            </w:r>
            <w:r>
              <w:rPr>
                <w:rFonts w:hint="eastAsia" w:ascii="仿宋" w:hAnsi="仿宋" w:eastAsia="仿宋"/>
                <w:sz w:val="28"/>
                <w:szCs w:val="28"/>
                <w:lang w:val="en-US" w:eastAsia="zh-CN"/>
              </w:rPr>
              <w:t>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 w:hAnsi="仿宋" w:eastAsia="仿宋"/>
                <w:sz w:val="28"/>
                <w:szCs w:val="28"/>
              </w:rPr>
              <w:t>财政性资金基本保证</w:t>
            </w: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both"/>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2611.38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32.32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11.69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1870.12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19.65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2611.38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1933.78</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60.08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737.68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2671.46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2671.46</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2611.38</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2611.38</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社会保障和就业支出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Cs w:val="21"/>
                <w:lang w:eastAsia="zh-CN"/>
              </w:rPr>
            </w:pPr>
            <w:r>
              <w:rPr>
                <w:rFonts w:hint="eastAsia" w:ascii="宋体" w:hAnsi="宋体" w:cs="宋体"/>
                <w:color w:val="000000"/>
                <w:szCs w:val="21"/>
                <w:lang w:eastAsia="zh-CN"/>
              </w:rPr>
              <w:t>行政事业单位离退休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医疗卫生与计划生育支出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11.69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行政事业单位医疗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城乡社区支出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2547.72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2547.72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城乡社区管理事务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Cs w:val="21"/>
                <w:lang w:eastAsia="zh-CN"/>
              </w:rPr>
            </w:pPr>
            <w:r>
              <w:rPr>
                <w:rFonts w:hint="eastAsia" w:ascii="宋体" w:hAnsi="宋体" w:cs="宋体"/>
                <w:color w:val="000000"/>
                <w:szCs w:val="21"/>
                <w:lang w:eastAsia="zh-CN"/>
              </w:rPr>
              <w:t>城乡社区规划于管理</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2341.14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2341.14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城乡社区规划于管理</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2341.14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2341.14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住房保障支出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住房改革支出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住房公积金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333" w:type="dxa"/>
        <w:tblInd w:w="0" w:type="dxa"/>
        <w:tblLayout w:type="fixed"/>
        <w:tblCellMar>
          <w:top w:w="0" w:type="dxa"/>
          <w:left w:w="0" w:type="dxa"/>
          <w:bottom w:w="0" w:type="dxa"/>
          <w:right w:w="0" w:type="dxa"/>
        </w:tblCellMar>
      </w:tblPr>
      <w:tblGrid>
        <w:gridCol w:w="290"/>
        <w:gridCol w:w="289"/>
        <w:gridCol w:w="633"/>
        <w:gridCol w:w="1934"/>
        <w:gridCol w:w="90"/>
        <w:gridCol w:w="1028"/>
        <w:gridCol w:w="90"/>
        <w:gridCol w:w="1030"/>
        <w:gridCol w:w="90"/>
        <w:gridCol w:w="864"/>
        <w:gridCol w:w="164"/>
        <w:gridCol w:w="90"/>
        <w:gridCol w:w="436"/>
        <w:gridCol w:w="480"/>
        <w:gridCol w:w="165"/>
        <w:gridCol w:w="570"/>
        <w:gridCol w:w="90"/>
      </w:tblGrid>
      <w:tr>
        <w:tblPrEx>
          <w:tblCellMar>
            <w:top w:w="0" w:type="dxa"/>
            <w:left w:w="0" w:type="dxa"/>
            <w:bottom w:w="0" w:type="dxa"/>
            <w:right w:w="0" w:type="dxa"/>
          </w:tblCellMar>
        </w:tblPrEx>
        <w:trPr>
          <w:gridAfter w:val="1"/>
          <w:wAfter w:w="90" w:type="dxa"/>
          <w:trHeight w:val="798" w:hRule="atLeast"/>
        </w:trPr>
        <w:tc>
          <w:tcPr>
            <w:tcW w:w="8243"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both"/>
              <w:rPr>
                <w:rFonts w:hint="default" w:ascii="Arial" w:hAnsi="Arial" w:eastAsia="宋体" w:cs="Arial"/>
                <w:color w:val="000000"/>
                <w:szCs w:val="21"/>
                <w:lang w:val="en-US" w:eastAsia="zh-CN"/>
              </w:rPr>
            </w:pPr>
            <w:r>
              <w:rPr>
                <w:rFonts w:hint="eastAsia" w:ascii="Arial" w:hAnsi="Arial" w:cs="Arial"/>
                <w:color w:val="000000"/>
                <w:szCs w:val="21"/>
                <w:lang w:eastAsia="zh-CN"/>
              </w:rPr>
              <w:t>公开</w:t>
            </w:r>
            <w:r>
              <w:rPr>
                <w:rFonts w:hint="eastAsia" w:ascii="Arial" w:hAnsi="Arial" w:cs="Arial"/>
                <w:color w:val="000000"/>
                <w:szCs w:val="21"/>
                <w:lang w:val="en-US" w:eastAsia="zh-CN"/>
              </w:rPr>
              <w:t>03表</w:t>
            </w: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08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6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both"/>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gridAfter w:val="1"/>
          <w:wAfter w:w="90" w:type="dxa"/>
          <w:trHeight w:val="380" w:hRule="atLeast"/>
        </w:trPr>
        <w:tc>
          <w:tcPr>
            <w:tcW w:w="314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41"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90" w:type="dxa"/>
          <w:trHeight w:val="537" w:hRule="atLeast"/>
        </w:trPr>
        <w:tc>
          <w:tcPr>
            <w:tcW w:w="314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18"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12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5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690" w:type="dxa"/>
            <w:gridSpan w:val="3"/>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48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3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1"/>
          <w:wAfter w:w="90" w:type="dxa"/>
          <w:trHeight w:val="474" w:hRule="atLeast"/>
        </w:trPr>
        <w:tc>
          <w:tcPr>
            <w:tcW w:w="121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18"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2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5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320" w:hRule="atLeast"/>
        </w:trPr>
        <w:tc>
          <w:tcPr>
            <w:tcW w:w="3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69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After w:val="1"/>
          <w:wAfter w:w="90" w:type="dxa"/>
          <w:trHeight w:val="245" w:hRule="atLeast"/>
        </w:trPr>
        <w:tc>
          <w:tcPr>
            <w:tcW w:w="3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1933.78</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854.54</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1079.24</w:t>
            </w: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Cs w:val="21"/>
              </w:rPr>
            </w:pPr>
          </w:p>
        </w:tc>
      </w:tr>
      <w:tr>
        <w:tblPrEx>
          <w:tblCellMar>
            <w:top w:w="0" w:type="dxa"/>
            <w:left w:w="0" w:type="dxa"/>
            <w:bottom w:w="0" w:type="dxa"/>
            <w:right w:w="0" w:type="dxa"/>
          </w:tblCellMar>
        </w:tblPrEx>
        <w:trPr>
          <w:gridAfter w:val="1"/>
          <w:wAfter w:w="90" w:type="dxa"/>
          <w:trHeight w:val="534"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社会保障和就业支出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行政事业单位离退休</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机关事业单位基本养老保险缴费支出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32.32</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医疗卫生与计划生育支出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行政事业单位医疗</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2101102</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事业单位医疗</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11.69</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1870.12</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790.88</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1079.24</w:t>
            </w: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城乡社区管理事务</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2120101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行政运行</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206.58</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城乡社区规划于管理</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1663.54</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584.3</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1079.24</w:t>
            </w: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2120201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城乡社区规划于管理</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1663.54</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584.3</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1079.24</w:t>
            </w: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住房保障支出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住房改革支出</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46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19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住房公积金</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11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19.65</w:t>
            </w:r>
          </w:p>
        </w:tc>
        <w:tc>
          <w:tcPr>
            <w:tcW w:w="9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9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90" w:type="dxa"/>
          <w:trHeight w:val="748" w:hRule="atLeast"/>
        </w:trPr>
        <w:tc>
          <w:tcPr>
            <w:tcW w:w="8243"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2611.38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32.32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32.32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11.69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11.69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1870.12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1870.12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2611.38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1933.78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1933.78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60.08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737.68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737.68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60.08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2671.46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2671.46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2671.46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12676"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gridCol w:w="954"/>
        <w:gridCol w:w="954"/>
        <w:gridCol w:w="954"/>
        <w:gridCol w:w="954"/>
      </w:tblGrid>
      <w:tr>
        <w:tblPrEx>
          <w:tblCellMar>
            <w:top w:w="0" w:type="dxa"/>
            <w:left w:w="0" w:type="dxa"/>
            <w:bottom w:w="0" w:type="dxa"/>
            <w:right w:w="0" w:type="dxa"/>
          </w:tblCellMar>
        </w:tblPrEx>
        <w:trPr>
          <w:gridAfter w:val="4"/>
          <w:wAfter w:w="3816" w:type="dxa"/>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gridAfter w:val="4"/>
          <w:wAfter w:w="3816" w:type="dxa"/>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gridAfter w:val="4"/>
          <w:wAfter w:w="3816" w:type="dxa"/>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4"/>
          <w:wAfter w:w="3816" w:type="dxa"/>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gridAfter w:val="4"/>
          <w:wAfter w:w="3816" w:type="dxa"/>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gridAfter w:val="4"/>
          <w:wAfter w:w="3816" w:type="dxa"/>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4"/>
          <w:wAfter w:w="3816" w:type="dxa"/>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4"/>
          <w:wAfter w:w="3816" w:type="dxa"/>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gridAfter w:val="4"/>
          <w:wAfter w:w="3816" w:type="dxa"/>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1933.78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854.54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1079.24</w:t>
            </w: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32.32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城乡社区管理事务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1870.12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790.88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1079.24</w:t>
            </w: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城乡社区规划于管理</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206.58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城乡社区规划于管理</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1663.54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584.3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1079.24</w:t>
            </w: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1663.54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584.3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1079.24</w:t>
            </w: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gridAfter w:val="4"/>
          <w:wAfter w:w="381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c>
          <w:tcPr>
            <w:tcW w:w="9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c>
          <w:tcPr>
            <w:tcW w:w="9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9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19.65</w:t>
            </w:r>
          </w:p>
        </w:tc>
        <w:tc>
          <w:tcPr>
            <w:tcW w:w="9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753.79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99.5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152.69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227.36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3.76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109.31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40.16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72.88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8.06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16.99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4.63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43.05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6.87</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79.43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0.39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3.54</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12.28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15.12</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754.04</w:t>
            </w: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eastAsia="zh-CN"/>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1.19</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4.19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0.65</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Theme="majorEastAsia" w:hAnsiTheme="majorEastAsia" w:eastAsiaTheme="majorEastAsia" w:cstheme="majorEastAsia"/>
                <w:color w:val="000000"/>
                <w:kern w:val="0"/>
                <w:sz w:val="20"/>
                <w:szCs w:val="20"/>
              </w:rPr>
              <w:t>部门：</w:t>
            </w:r>
            <w:r>
              <w:rPr>
                <w:rFonts w:hint="eastAsia" w:asciiTheme="majorEastAsia" w:hAnsiTheme="majorEastAsia" w:eastAsiaTheme="majorEastAsia" w:cstheme="majorEastAsia"/>
                <w:sz w:val="20"/>
                <w:szCs w:val="20"/>
              </w:rPr>
              <w:t>廊坊市大厂回族自治县城乡规划局</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hint="eastAsia" w:asciiTheme="majorEastAsia" w:hAnsiTheme="majorEastAsia" w:eastAsiaTheme="majorEastAsia" w:cstheme="majorEastAsia"/>
          <w:b w:val="0"/>
          <w:bCs/>
          <w:sz w:val="22"/>
          <w:szCs w:val="22"/>
          <w:highlight w:val="none"/>
        </w:rPr>
        <w:sectPr>
          <w:pgSz w:w="11906" w:h="16838"/>
          <w:pgMar w:top="2098" w:right="1474" w:bottom="1984" w:left="1588" w:header="851" w:footer="992" w:gutter="0"/>
          <w:cols w:space="0" w:num="1"/>
          <w:docGrid w:type="lines" w:linePitch="312" w:charSpace="0"/>
        </w:sectPr>
      </w:pPr>
      <w:r>
        <w:rPr>
          <w:rFonts w:hint="eastAsia" w:asciiTheme="majorEastAsia" w:hAnsiTheme="majorEastAsia" w:eastAsiaTheme="majorEastAsia" w:cstheme="majorEastAsia"/>
          <w:b w:val="0"/>
          <w:bCs/>
          <w:sz w:val="22"/>
          <w:szCs w:val="22"/>
          <w:highlight w:val="none"/>
        </w:rPr>
        <w:t>注：本部门本年度无相关收入（或支出、收支及结转结余等）情况，按要求空表列示。</w:t>
      </w: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编制单位：</w:t>
            </w:r>
            <w:r>
              <w:rPr>
                <w:rFonts w:hint="eastAsia" w:asciiTheme="majorEastAsia" w:hAnsiTheme="majorEastAsia" w:eastAsiaTheme="majorEastAsia" w:cstheme="majorEastAsia"/>
                <w:sz w:val="20"/>
                <w:szCs w:val="20"/>
              </w:rPr>
              <w:t>廊坊市大厂回族自治县城乡规划局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bl>
    <w:p>
      <w:pPr>
        <w:widowControl/>
        <w:spacing w:after="0" w:line="560" w:lineRule="exact"/>
        <w:jc w:val="left"/>
        <w:rPr>
          <w:rFonts w:hint="eastAsia" w:asciiTheme="majorEastAsia" w:hAnsiTheme="majorEastAsia" w:eastAsiaTheme="majorEastAsia" w:cstheme="majorEastAsia"/>
          <w:b w:val="0"/>
          <w:bCs/>
          <w:sz w:val="22"/>
          <w:szCs w:val="22"/>
          <w:highlight w:val="none"/>
        </w:rPr>
        <w:sectPr>
          <w:pgSz w:w="11906" w:h="16838"/>
          <w:pgMar w:top="2098" w:right="1474" w:bottom="1984" w:left="1588" w:header="851" w:footer="992" w:gutter="0"/>
          <w:cols w:space="0" w:num="1"/>
          <w:docGrid w:type="lines" w:linePitch="312" w:charSpace="0"/>
        </w:sectPr>
      </w:pPr>
      <w:r>
        <w:rPr>
          <w:rFonts w:hint="eastAsia" w:asciiTheme="majorEastAsia" w:hAnsiTheme="majorEastAsia" w:eastAsiaTheme="majorEastAsia" w:cstheme="majorEastAsia"/>
          <w:b w:val="0"/>
          <w:bCs/>
          <w:sz w:val="22"/>
          <w:szCs w:val="22"/>
          <w:highlight w:val="none"/>
        </w:rPr>
        <w:t>注：本部门本年度无相关收入（或支出、收支及结转结余等）情况，按要求空表列示。</w:t>
      </w: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编制单位：</w:t>
            </w:r>
            <w:r>
              <w:rPr>
                <w:rFonts w:hint="eastAsia" w:asciiTheme="majorEastAsia" w:hAnsiTheme="majorEastAsia" w:eastAsiaTheme="majorEastAsia" w:cstheme="majorEastAsia"/>
                <w:sz w:val="20"/>
                <w:szCs w:val="20"/>
              </w:rPr>
              <w:t>廊坊市大厂回族自治县城乡规划局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2642.35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2552.8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2552.8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2552.8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2552.8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both"/>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本部门2018年度收支总计（含结转和结余）</w:t>
      </w:r>
      <w:r>
        <w:rPr>
          <w:rFonts w:hint="eastAsia" w:ascii="仿宋" w:hAnsi="仿宋" w:eastAsia="仿宋" w:cs="仿宋"/>
          <w:sz w:val="32"/>
          <w:szCs w:val="32"/>
          <w:lang w:val="en-US" w:eastAsia="zh-CN"/>
        </w:rPr>
        <w:t>737.68</w:t>
      </w:r>
      <w:r>
        <w:rPr>
          <w:rFonts w:hint="eastAsia" w:ascii="仿宋" w:hAnsi="仿宋" w:eastAsia="仿宋" w:cs="仿宋"/>
          <w:sz w:val="32"/>
          <w:szCs w:val="32"/>
        </w:rPr>
        <w:t>万元。与2017年度决算相比，收</w:t>
      </w:r>
      <w:r>
        <w:rPr>
          <w:rFonts w:hint="eastAsia" w:ascii="仿宋" w:hAnsi="仿宋" w:eastAsia="仿宋" w:cs="仿宋"/>
          <w:sz w:val="32"/>
          <w:szCs w:val="32"/>
          <w:lang w:eastAsia="zh-CN"/>
        </w:rPr>
        <w:t>入增加</w:t>
      </w:r>
      <w:r>
        <w:rPr>
          <w:rFonts w:hint="eastAsia" w:ascii="仿宋" w:hAnsi="仿宋" w:eastAsia="仿宋" w:cs="仿宋"/>
          <w:sz w:val="32"/>
          <w:szCs w:val="32"/>
          <w:lang w:val="en-US" w:eastAsia="zh-CN"/>
        </w:rPr>
        <w:t>1709.48万元，增长65.46%，主要因为规划编制项目的增加；</w:t>
      </w:r>
      <w:r>
        <w:rPr>
          <w:rFonts w:hint="eastAsia" w:ascii="仿宋" w:hAnsi="仿宋" w:eastAsia="仿宋" w:cs="仿宋"/>
          <w:sz w:val="32"/>
          <w:szCs w:val="32"/>
        </w:rPr>
        <w:t>支</w:t>
      </w:r>
      <w:r>
        <w:rPr>
          <w:rFonts w:hint="eastAsia" w:ascii="仿宋" w:hAnsi="仿宋" w:eastAsia="仿宋" w:cs="仿宋"/>
          <w:sz w:val="32"/>
          <w:szCs w:val="32"/>
          <w:lang w:eastAsia="zh-CN"/>
        </w:rPr>
        <w:t>出</w:t>
      </w:r>
      <w:r>
        <w:rPr>
          <w:rFonts w:hint="eastAsia" w:ascii="仿宋" w:hAnsi="仿宋" w:eastAsia="仿宋" w:cs="仿宋"/>
          <w:sz w:val="32"/>
          <w:szCs w:val="32"/>
        </w:rPr>
        <w:t>增加</w:t>
      </w:r>
      <w:r>
        <w:rPr>
          <w:rFonts w:hint="eastAsia" w:ascii="仿宋" w:hAnsi="仿宋" w:eastAsia="仿宋" w:cs="仿宋"/>
          <w:sz w:val="32"/>
          <w:szCs w:val="32"/>
          <w:lang w:val="en-US" w:eastAsia="zh-CN"/>
        </w:rPr>
        <w:t>585.24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30.26</w:t>
      </w:r>
      <w:r>
        <w:rPr>
          <w:rFonts w:hint="eastAsia" w:ascii="仿宋" w:hAnsi="仿宋" w:eastAsia="仿宋" w:cs="仿宋"/>
          <w:sz w:val="32"/>
          <w:szCs w:val="32"/>
        </w:rPr>
        <w:t>%，主要是</w:t>
      </w:r>
      <w:r>
        <w:rPr>
          <w:rFonts w:hint="eastAsia" w:ascii="仿宋" w:hAnsi="仿宋" w:eastAsia="仿宋" w:cs="仿宋"/>
          <w:sz w:val="32"/>
          <w:szCs w:val="32"/>
          <w:lang w:eastAsia="zh-CN"/>
        </w:rPr>
        <w:t>规划业务的增加。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4" w:lineRule="exact"/>
        <w:jc w:val="left"/>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2611.38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2611.38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4" w:lineRule="exact"/>
        <w:jc w:val="center"/>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图1：收入决算结构饼状图：</w:t>
      </w:r>
    </w:p>
    <w:p>
      <w:pPr>
        <w:adjustRightInd w:val="0"/>
        <w:snapToGrid w:val="0"/>
        <w:spacing w:line="584" w:lineRule="exact"/>
        <w:jc w:val="left"/>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300" distR="114300" simplePos="0" relativeHeight="251664384" behindDoc="0" locked="0" layoutInCell="1" allowOverlap="1">
            <wp:simplePos x="0" y="0"/>
            <wp:positionH relativeFrom="column">
              <wp:posOffset>139065</wp:posOffset>
            </wp:positionH>
            <wp:positionV relativeFrom="page">
              <wp:posOffset>5587365</wp:posOffset>
            </wp:positionV>
            <wp:extent cx="5034280" cy="2832100"/>
            <wp:effectExtent l="4445" t="4445" r="5715" b="1333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adjustRightInd w:val="0"/>
        <w:snapToGrid w:val="0"/>
        <w:spacing w:line="584" w:lineRule="exact"/>
        <w:jc w:val="left"/>
        <w:rPr>
          <w:rFonts w:hint="eastAsia" w:ascii="仿宋_GB2312" w:eastAsia="仿宋_GB2312" w:cs="DengXian-Regular"/>
          <w:sz w:val="32"/>
          <w:szCs w:val="32"/>
          <w:lang w:eastAsia="zh-CN"/>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本部门2018年度本年支出合计</w:t>
      </w:r>
      <w:r>
        <w:rPr>
          <w:rFonts w:hint="eastAsia" w:ascii="仿宋" w:hAnsi="仿宋" w:eastAsia="仿宋" w:cs="仿宋"/>
          <w:sz w:val="32"/>
          <w:szCs w:val="32"/>
          <w:lang w:val="en-US" w:eastAsia="zh-CN"/>
        </w:rPr>
        <w:t>1933.78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854.54</w:t>
      </w:r>
      <w:r>
        <w:rPr>
          <w:rFonts w:hint="eastAsia" w:ascii="仿宋" w:hAnsi="仿宋" w:eastAsia="仿宋" w:cs="仿宋"/>
          <w:sz w:val="32"/>
          <w:szCs w:val="32"/>
        </w:rPr>
        <w:t>万元，占</w:t>
      </w:r>
      <w:r>
        <w:rPr>
          <w:rFonts w:hint="eastAsia" w:ascii="仿宋" w:hAnsi="仿宋" w:eastAsia="仿宋" w:cs="仿宋"/>
          <w:sz w:val="32"/>
          <w:szCs w:val="32"/>
          <w:lang w:val="en-US" w:eastAsia="zh-CN"/>
        </w:rPr>
        <w:t>44.19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1079.24</w:t>
      </w:r>
      <w:r>
        <w:rPr>
          <w:rFonts w:hint="eastAsia" w:ascii="仿宋" w:hAnsi="仿宋" w:eastAsia="仿宋" w:cs="仿宋"/>
          <w:sz w:val="32"/>
          <w:szCs w:val="32"/>
        </w:rPr>
        <w:t>万元，占</w:t>
      </w:r>
      <w:r>
        <w:rPr>
          <w:rFonts w:hint="eastAsia" w:ascii="仿宋" w:hAnsi="仿宋" w:eastAsia="仿宋" w:cs="仿宋"/>
          <w:sz w:val="32"/>
          <w:szCs w:val="32"/>
          <w:lang w:val="en-US" w:eastAsia="zh-CN"/>
        </w:rPr>
        <w:t>55.81</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adjustRightInd w:val="0"/>
        <w:snapToGrid w:val="0"/>
        <w:spacing w:line="584" w:lineRule="exact"/>
        <w:jc w:val="center"/>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图2：支出决算结构饼状图：</w:t>
      </w: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drawing>
          <wp:anchor distT="0" distB="0" distL="114300" distR="114300" simplePos="0" relativeHeight="251665408" behindDoc="0" locked="0" layoutInCell="1" allowOverlap="1">
            <wp:simplePos x="0" y="0"/>
            <wp:positionH relativeFrom="column">
              <wp:posOffset>380365</wp:posOffset>
            </wp:positionH>
            <wp:positionV relativeFrom="paragraph">
              <wp:posOffset>123825</wp:posOffset>
            </wp:positionV>
            <wp:extent cx="4683760" cy="2759075"/>
            <wp:effectExtent l="4445" t="4445" r="5715" b="1016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adjustRightInd w:val="0"/>
        <w:snapToGrid w:val="0"/>
        <w:spacing w:after="0" w:line="580" w:lineRule="exact"/>
        <w:ind w:firstLine="640" w:firstLineChars="200"/>
        <w:jc w:val="left"/>
        <w:rPr>
          <w:rFonts w:hint="eastAsia" w:ascii="仿宋" w:hAnsi="仿宋" w:eastAsia="仿宋" w:cs="仿宋"/>
          <w:color w:val="FF0000"/>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本部门2018年度形成的财政拨款收支均为一般公共预算财政拨款，其中一般公共预算财政拨款本年收入</w:t>
      </w:r>
      <w:r>
        <w:rPr>
          <w:rFonts w:hint="eastAsia" w:ascii="仿宋" w:hAnsi="仿宋" w:eastAsia="仿宋" w:cs="仿宋"/>
          <w:sz w:val="32"/>
          <w:szCs w:val="32"/>
          <w:lang w:val="en-US" w:eastAsia="zh-CN"/>
        </w:rPr>
        <w:t>2611.38</w:t>
      </w:r>
      <w:r>
        <w:rPr>
          <w:rFonts w:hint="eastAsia" w:ascii="仿宋" w:hAnsi="仿宋" w:eastAsia="仿宋" w:cs="仿宋"/>
          <w:sz w:val="32"/>
          <w:szCs w:val="32"/>
        </w:rPr>
        <w:t>万元,比2017年度增加</w:t>
      </w:r>
      <w:r>
        <w:rPr>
          <w:rFonts w:hint="eastAsia" w:ascii="仿宋" w:hAnsi="仿宋" w:eastAsia="仿宋" w:cs="仿宋"/>
          <w:sz w:val="32"/>
          <w:szCs w:val="32"/>
          <w:lang w:val="en-US" w:eastAsia="zh-CN"/>
        </w:rPr>
        <w:t>1709.48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65.46</w:t>
      </w:r>
      <w:r>
        <w:rPr>
          <w:rFonts w:hint="eastAsia" w:ascii="仿宋" w:hAnsi="仿宋" w:eastAsia="仿宋" w:cs="仿宋"/>
          <w:sz w:val="32"/>
          <w:szCs w:val="32"/>
        </w:rPr>
        <w:t>%，主要是</w:t>
      </w:r>
      <w:r>
        <w:rPr>
          <w:rFonts w:hint="eastAsia" w:ascii="仿宋" w:hAnsi="仿宋" w:eastAsia="仿宋" w:cs="仿宋"/>
          <w:sz w:val="32"/>
          <w:szCs w:val="32"/>
          <w:lang w:eastAsia="zh-CN"/>
        </w:rPr>
        <w:t>规划编制项目的增加</w:t>
      </w:r>
      <w:r>
        <w:rPr>
          <w:rFonts w:hint="eastAsia" w:ascii="仿宋" w:hAnsi="仿宋" w:eastAsia="仿宋" w:cs="仿宋"/>
          <w:sz w:val="32"/>
          <w:szCs w:val="32"/>
        </w:rPr>
        <w:t>；本年支出</w:t>
      </w:r>
      <w:r>
        <w:rPr>
          <w:rFonts w:hint="eastAsia" w:ascii="仿宋" w:hAnsi="仿宋" w:eastAsia="仿宋" w:cs="仿宋"/>
          <w:sz w:val="32"/>
          <w:szCs w:val="32"/>
          <w:lang w:val="en-US" w:eastAsia="zh-CN"/>
        </w:rPr>
        <w:t>1933.78</w:t>
      </w:r>
      <w:r>
        <w:rPr>
          <w:rFonts w:hint="eastAsia" w:ascii="仿宋" w:hAnsi="仿宋" w:eastAsia="仿宋" w:cs="仿宋"/>
          <w:sz w:val="32"/>
          <w:szCs w:val="32"/>
        </w:rPr>
        <w:t>万元，增加</w:t>
      </w:r>
      <w:r>
        <w:rPr>
          <w:rFonts w:hint="eastAsia" w:ascii="仿宋" w:hAnsi="仿宋" w:eastAsia="仿宋" w:cs="仿宋"/>
          <w:sz w:val="32"/>
          <w:szCs w:val="32"/>
          <w:lang w:val="en-US" w:eastAsia="zh-CN"/>
        </w:rPr>
        <w:t>585.24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30.26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w:t>
      </w:r>
      <w:r>
        <w:rPr>
          <w:rFonts w:hint="eastAsia" w:ascii="仿宋" w:hAnsi="仿宋" w:eastAsia="仿宋" w:cs="仿宋"/>
          <w:sz w:val="32"/>
          <w:szCs w:val="32"/>
          <w:lang w:eastAsia="zh-CN"/>
        </w:rPr>
        <w:t>规划编制项目的增加。</w:t>
      </w:r>
    </w:p>
    <w:p>
      <w:pPr>
        <w:adjustRightInd w:val="0"/>
        <w:snapToGrid w:val="0"/>
        <w:spacing w:line="584" w:lineRule="exact"/>
        <w:jc w:val="center"/>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图3：财政拨款收支情况</w:t>
      </w: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7456" behindDoc="0" locked="0" layoutInCell="1" allowOverlap="1">
            <wp:simplePos x="0" y="0"/>
            <wp:positionH relativeFrom="column">
              <wp:posOffset>311785</wp:posOffset>
            </wp:positionH>
            <wp:positionV relativeFrom="paragraph">
              <wp:posOffset>41910</wp:posOffset>
            </wp:positionV>
            <wp:extent cx="4905375" cy="2986405"/>
            <wp:effectExtent l="4445" t="4445" r="12700" b="1143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adjustRightInd w:val="0"/>
        <w:snapToGrid w:val="0"/>
        <w:spacing w:after="0" w:line="580" w:lineRule="exact"/>
        <w:ind w:firstLine="640" w:firstLineChars="200"/>
        <w:rPr>
          <w:rFonts w:hint="eastAsia" w:ascii="仿宋" w:hAnsi="仿宋" w:eastAsia="仿宋" w:cs="仿宋"/>
          <w:sz w:val="32"/>
          <w:szCs w:val="32"/>
          <w:lang w:eastAsia="zh-CN"/>
        </w:rPr>
      </w:pPr>
    </w:p>
    <w:p>
      <w:pPr>
        <w:spacing w:after="0" w:line="580" w:lineRule="exact"/>
        <w:ind w:firstLine="643" w:firstLineChars="200"/>
        <w:rPr>
          <w:rFonts w:hint="eastAsia" w:ascii="楷体_GB2312" w:eastAsia="楷体_GB2312" w:cs="DengXian-Bold"/>
          <w:b/>
          <w:bCs/>
          <w:sz w:val="32"/>
          <w:szCs w:val="32"/>
          <w:lang w:eastAsia="zh-CN"/>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color w:val="000000" w:themeColor="text1"/>
          <w:sz w:val="32"/>
          <w:szCs w:val="32"/>
        </w:rPr>
      </w:pPr>
      <w:r>
        <w:rPr>
          <w:rFonts w:hint="eastAsia" w:ascii="仿宋" w:hAnsi="仿宋" w:eastAsia="仿宋" w:cs="仿宋"/>
          <w:color w:val="000000" w:themeColor="text1"/>
          <w:sz w:val="32"/>
          <w:szCs w:val="32"/>
        </w:rPr>
        <w:t>本部门2018年度一般公共预算财政拨款收入</w:t>
      </w:r>
      <w:r>
        <w:rPr>
          <w:rFonts w:hint="eastAsia" w:ascii="仿宋" w:hAnsi="仿宋" w:eastAsia="仿宋" w:cs="仿宋"/>
          <w:color w:val="000000" w:themeColor="text1"/>
          <w:sz w:val="32"/>
          <w:szCs w:val="32"/>
          <w:lang w:val="en-US" w:eastAsia="zh-CN"/>
        </w:rPr>
        <w:t>2611.38</w:t>
      </w:r>
      <w:r>
        <w:rPr>
          <w:rFonts w:hint="eastAsia" w:ascii="仿宋" w:hAnsi="仿宋" w:eastAsia="仿宋" w:cs="仿宋"/>
          <w:color w:val="000000" w:themeColor="text1"/>
          <w:sz w:val="32"/>
          <w:szCs w:val="32"/>
        </w:rPr>
        <w:t>万元，完成年初预算的</w:t>
      </w:r>
      <w:r>
        <w:rPr>
          <w:rFonts w:hint="eastAsia" w:ascii="仿宋" w:hAnsi="仿宋" w:eastAsia="仿宋" w:cs="仿宋"/>
          <w:color w:val="000000" w:themeColor="text1"/>
          <w:sz w:val="32"/>
          <w:szCs w:val="32"/>
          <w:lang w:val="en-US" w:eastAsia="zh-CN"/>
        </w:rPr>
        <w:t>93.92</w:t>
      </w:r>
      <w:r>
        <w:rPr>
          <w:rFonts w:hint="eastAsia" w:ascii="仿宋" w:hAnsi="仿宋" w:eastAsia="仿宋" w:cs="仿宋"/>
          <w:color w:val="000000" w:themeColor="text1"/>
          <w:sz w:val="32"/>
          <w:szCs w:val="32"/>
        </w:rPr>
        <w:t>%,比年初预算减少</w:t>
      </w:r>
      <w:r>
        <w:rPr>
          <w:rFonts w:hint="eastAsia" w:ascii="仿宋" w:hAnsi="仿宋" w:eastAsia="仿宋" w:cs="仿宋"/>
          <w:color w:val="000000" w:themeColor="text1"/>
          <w:sz w:val="32"/>
          <w:szCs w:val="32"/>
          <w:lang w:val="en-US" w:eastAsia="zh-CN"/>
        </w:rPr>
        <w:t>168.82</w:t>
      </w:r>
      <w:r>
        <w:rPr>
          <w:rFonts w:hint="eastAsia" w:ascii="仿宋" w:hAnsi="仿宋" w:eastAsia="仿宋" w:cs="仿宋"/>
          <w:color w:val="000000" w:themeColor="text1"/>
          <w:sz w:val="32"/>
          <w:szCs w:val="32"/>
        </w:rPr>
        <w:t>万元，决算数小于预算数主要是</w:t>
      </w:r>
      <w:r>
        <w:rPr>
          <w:rFonts w:hint="eastAsia" w:ascii="仿宋" w:hAnsi="仿宋" w:eastAsia="仿宋" w:cs="仿宋"/>
          <w:color w:val="000000" w:themeColor="text1"/>
          <w:sz w:val="32"/>
          <w:szCs w:val="32"/>
          <w:lang w:eastAsia="zh-CN"/>
        </w:rPr>
        <w:t>部分规划编制项目未达到预期的支付进度，所以未向财政部门申请资金</w:t>
      </w:r>
      <w:r>
        <w:rPr>
          <w:rFonts w:hint="eastAsia" w:ascii="仿宋" w:hAnsi="仿宋" w:eastAsia="仿宋" w:cs="仿宋"/>
          <w:color w:val="000000" w:themeColor="text1"/>
          <w:sz w:val="32"/>
          <w:szCs w:val="32"/>
        </w:rPr>
        <w:t>；本年支出</w:t>
      </w:r>
      <w:r>
        <w:rPr>
          <w:rFonts w:hint="eastAsia" w:ascii="仿宋" w:hAnsi="仿宋" w:eastAsia="仿宋" w:cs="仿宋"/>
          <w:color w:val="000000" w:themeColor="text1"/>
          <w:sz w:val="32"/>
          <w:szCs w:val="32"/>
          <w:lang w:val="en-US" w:eastAsia="zh-CN"/>
        </w:rPr>
        <w:t>1933.78</w:t>
      </w:r>
      <w:r>
        <w:rPr>
          <w:rFonts w:hint="eastAsia" w:ascii="仿宋" w:hAnsi="仿宋" w:eastAsia="仿宋" w:cs="仿宋"/>
          <w:color w:val="000000" w:themeColor="text1"/>
          <w:sz w:val="32"/>
          <w:szCs w:val="32"/>
        </w:rPr>
        <w:t>万元，完成年初预算的</w:t>
      </w:r>
      <w:r>
        <w:rPr>
          <w:rFonts w:hint="eastAsia" w:ascii="仿宋" w:hAnsi="仿宋" w:eastAsia="仿宋" w:cs="仿宋"/>
          <w:color w:val="000000" w:themeColor="text1"/>
          <w:sz w:val="32"/>
          <w:szCs w:val="32"/>
          <w:lang w:val="en-US" w:eastAsia="zh-CN"/>
        </w:rPr>
        <w:t>69.56</w:t>
      </w:r>
      <w:r>
        <w:rPr>
          <w:rFonts w:hint="eastAsia" w:ascii="仿宋" w:hAnsi="仿宋" w:eastAsia="仿宋" w:cs="仿宋"/>
          <w:color w:val="000000" w:themeColor="text1"/>
          <w:sz w:val="32"/>
          <w:szCs w:val="32"/>
        </w:rPr>
        <w:t>%,比年初预算减少</w:t>
      </w:r>
      <w:r>
        <w:rPr>
          <w:rFonts w:hint="eastAsia" w:ascii="仿宋" w:hAnsi="仿宋" w:eastAsia="仿宋" w:cs="仿宋"/>
          <w:color w:val="000000" w:themeColor="text1"/>
          <w:sz w:val="32"/>
          <w:szCs w:val="32"/>
          <w:lang w:val="en-US" w:eastAsia="zh-CN"/>
        </w:rPr>
        <w:t>846.42</w:t>
      </w:r>
      <w:r>
        <w:rPr>
          <w:rFonts w:hint="eastAsia" w:ascii="仿宋" w:hAnsi="仿宋" w:eastAsia="仿宋" w:cs="仿宋"/>
          <w:color w:val="000000" w:themeColor="text1"/>
          <w:sz w:val="32"/>
          <w:szCs w:val="32"/>
        </w:rPr>
        <w:t>万元，决算数小预算数主要是</w:t>
      </w:r>
      <w:r>
        <w:rPr>
          <w:rFonts w:hint="eastAsia" w:ascii="仿宋" w:hAnsi="仿宋" w:eastAsia="仿宋" w:cs="仿宋"/>
          <w:color w:val="000000" w:themeColor="text1"/>
          <w:sz w:val="32"/>
          <w:szCs w:val="32"/>
          <w:lang w:eastAsia="zh-CN"/>
        </w:rPr>
        <w:t>部分规划编制项目未达到支付进度</w:t>
      </w:r>
      <w:r>
        <w:rPr>
          <w:rFonts w:hint="eastAsia" w:ascii="仿宋" w:hAnsi="仿宋" w:eastAsia="仿宋" w:cs="仿宋"/>
          <w:color w:val="000000" w:themeColor="text1"/>
          <w:sz w:val="32"/>
          <w:szCs w:val="32"/>
        </w:rPr>
        <w:t>。</w:t>
      </w:r>
    </w:p>
    <w:p>
      <w:pPr>
        <w:adjustRightInd w:val="0"/>
        <w:snapToGrid w:val="0"/>
        <w:spacing w:after="0" w:line="580" w:lineRule="exact"/>
        <w:ind w:firstLine="640" w:firstLineChars="200"/>
        <w:jc w:val="both"/>
        <w:rPr>
          <w:rFonts w:hint="eastAsia" w:eastAsia="仿宋_GB2312"/>
          <w:color w:val="FF0000"/>
          <w:sz w:val="32"/>
          <w:szCs w:val="32"/>
        </w:rPr>
      </w:pPr>
    </w:p>
    <w:p>
      <w:pPr>
        <w:adjustRightInd w:val="0"/>
        <w:snapToGrid w:val="0"/>
        <w:spacing w:after="0" w:line="580" w:lineRule="exact"/>
        <w:ind w:firstLine="640" w:firstLineChars="200"/>
        <w:jc w:val="both"/>
        <w:rPr>
          <w:rFonts w:hint="eastAsia" w:eastAsia="仿宋_GB2312"/>
          <w:color w:val="FF0000"/>
          <w:sz w:val="32"/>
          <w:szCs w:val="32"/>
        </w:rPr>
      </w:pPr>
    </w:p>
    <w:p>
      <w:pPr>
        <w:adjustRightInd w:val="0"/>
        <w:snapToGrid w:val="0"/>
        <w:spacing w:line="584" w:lineRule="exact"/>
        <w:jc w:val="center"/>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图4：财政拨款收支预决算对比情况</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68480" behindDoc="0" locked="0" layoutInCell="1" allowOverlap="1">
            <wp:simplePos x="0" y="0"/>
            <wp:positionH relativeFrom="column">
              <wp:posOffset>509905</wp:posOffset>
            </wp:positionH>
            <wp:positionV relativeFrom="paragraph">
              <wp:posOffset>41275</wp:posOffset>
            </wp:positionV>
            <wp:extent cx="4777740" cy="2438400"/>
            <wp:effectExtent l="4445" t="4445" r="18415" b="1079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年度财政拨款支出</w:t>
      </w:r>
      <w:r>
        <w:rPr>
          <w:rFonts w:hint="eastAsia" w:ascii="仿宋" w:hAnsi="仿宋" w:eastAsia="仿宋" w:cs="仿宋"/>
          <w:sz w:val="32"/>
          <w:szCs w:val="32"/>
          <w:lang w:val="en-US" w:eastAsia="zh-CN"/>
        </w:rPr>
        <w:t>1933.78</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854.54</w:t>
      </w:r>
      <w:r>
        <w:rPr>
          <w:rFonts w:hint="eastAsia" w:ascii="仿宋" w:hAnsi="仿宋" w:eastAsia="仿宋" w:cs="仿宋"/>
          <w:sz w:val="32"/>
          <w:szCs w:val="32"/>
        </w:rPr>
        <w:t>万元，占</w:t>
      </w:r>
      <w:r>
        <w:rPr>
          <w:rFonts w:hint="eastAsia" w:ascii="仿宋" w:hAnsi="仿宋" w:eastAsia="仿宋" w:cs="仿宋"/>
          <w:sz w:val="32"/>
          <w:szCs w:val="32"/>
          <w:lang w:val="en-US" w:eastAsia="zh-CN"/>
        </w:rPr>
        <w:t>44.19</w:t>
      </w:r>
      <w:r>
        <w:rPr>
          <w:rFonts w:hint="eastAsia" w:ascii="仿宋" w:hAnsi="仿宋" w:eastAsia="仿宋" w:cs="仿宋"/>
          <w:sz w:val="32"/>
          <w:szCs w:val="32"/>
        </w:rPr>
        <w:t>%</w:t>
      </w:r>
      <w:r>
        <w:rPr>
          <w:rFonts w:hint="eastAsia" w:ascii="仿宋" w:hAnsi="仿宋" w:eastAsia="仿宋" w:cs="仿宋"/>
          <w:sz w:val="32"/>
          <w:szCs w:val="32"/>
          <w:lang w:eastAsia="zh-CN"/>
        </w:rPr>
        <w:t>（其中，社会保障和就业支出</w:t>
      </w:r>
      <w:r>
        <w:rPr>
          <w:rFonts w:hint="eastAsia" w:ascii="仿宋" w:hAnsi="仿宋" w:eastAsia="仿宋" w:cs="仿宋"/>
          <w:sz w:val="32"/>
          <w:szCs w:val="32"/>
          <w:lang w:val="en-US" w:eastAsia="zh-CN"/>
        </w:rPr>
        <w:t>32.32万元，占3.78%；医疗卫生与计划生育支出11.69万元，占1.38%；城乡社区支出790.88万元，占92.55%；住房保障支出19.65万元，占2.30%</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1079.24</w:t>
      </w:r>
      <w:r>
        <w:rPr>
          <w:rFonts w:hint="eastAsia" w:ascii="仿宋" w:hAnsi="仿宋" w:eastAsia="仿宋" w:cs="仿宋"/>
          <w:sz w:val="32"/>
          <w:szCs w:val="32"/>
        </w:rPr>
        <w:t>万元，占</w:t>
      </w:r>
      <w:r>
        <w:rPr>
          <w:rFonts w:hint="eastAsia" w:ascii="仿宋" w:hAnsi="仿宋" w:eastAsia="仿宋" w:cs="仿宋"/>
          <w:sz w:val="32"/>
          <w:szCs w:val="32"/>
          <w:lang w:val="en-US" w:eastAsia="zh-CN"/>
        </w:rPr>
        <w:t>55.81</w:t>
      </w:r>
      <w:r>
        <w:rPr>
          <w:rFonts w:hint="eastAsia" w:ascii="仿宋" w:hAnsi="仿宋" w:eastAsia="仿宋" w:cs="仿宋"/>
          <w:sz w:val="32"/>
          <w:szCs w:val="32"/>
        </w:rPr>
        <w:t>%。</w:t>
      </w:r>
    </w:p>
    <w:p>
      <w:pPr>
        <w:adjustRightInd w:val="0"/>
        <w:snapToGrid w:val="0"/>
        <w:spacing w:line="584" w:lineRule="exact"/>
        <w:jc w:val="center"/>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图5：财政拨款支出决算结构</w:t>
      </w:r>
    </w:p>
    <w:p>
      <w:pPr>
        <w:adjustRightInd w:val="0"/>
        <w:snapToGrid w:val="0"/>
        <w:spacing w:after="0" w:line="580" w:lineRule="exact"/>
        <w:ind w:firstLine="640" w:firstLineChars="200"/>
        <w:rPr>
          <w:rFonts w:hint="eastAsia" w:eastAsia="仿宋_GB2312"/>
          <w:color w:val="FF0000"/>
          <w:sz w:val="32"/>
          <w:szCs w:val="32"/>
        </w:rPr>
      </w:pPr>
      <w:r>
        <w:rPr>
          <w:rFonts w:hint="eastAsia" w:eastAsia="仿宋_GB2312"/>
          <w:color w:val="FF0000"/>
          <w:sz w:val="32"/>
          <w:szCs w:val="32"/>
          <w:lang w:eastAsia="zh-CN"/>
        </w:rPr>
        <w:drawing>
          <wp:anchor distT="0" distB="0" distL="114300" distR="114300" simplePos="0" relativeHeight="251666432" behindDoc="0" locked="0" layoutInCell="1" allowOverlap="1">
            <wp:simplePos x="0" y="0"/>
            <wp:positionH relativeFrom="column">
              <wp:posOffset>380365</wp:posOffset>
            </wp:positionH>
            <wp:positionV relativeFrom="paragraph">
              <wp:posOffset>147955</wp:posOffset>
            </wp:positionV>
            <wp:extent cx="4722495" cy="2652395"/>
            <wp:effectExtent l="4445" t="4445" r="12700" b="1016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hint="eastAsia" w:eastAsia="仿宋_GB2312"/>
          <w:color w:val="FF0000"/>
          <w:sz w:val="32"/>
          <w:szCs w:val="32"/>
          <w:lang w:eastAsia="zh-CN"/>
        </w:rPr>
      </w:pPr>
    </w:p>
    <w:p>
      <w:pPr>
        <w:adjustRightInd w:val="0"/>
        <w:snapToGrid w:val="0"/>
        <w:spacing w:after="0" w:line="580" w:lineRule="exact"/>
        <w:ind w:firstLine="640" w:firstLineChars="200"/>
        <w:rPr>
          <w:rFonts w:hint="eastAsia" w:eastAsia="仿宋_GB2312"/>
          <w:color w:val="FF0000"/>
          <w:sz w:val="32"/>
          <w:szCs w:val="32"/>
        </w:rPr>
      </w:pPr>
    </w:p>
    <w:p>
      <w:pPr>
        <w:adjustRightInd w:val="0"/>
        <w:snapToGrid w:val="0"/>
        <w:spacing w:after="0" w:line="580" w:lineRule="exact"/>
        <w:ind w:firstLine="640" w:firstLineChars="200"/>
        <w:rPr>
          <w:rFonts w:hint="eastAsia" w:eastAsia="仿宋_GB2312"/>
          <w:color w:val="FF0000"/>
          <w:sz w:val="32"/>
          <w:szCs w:val="32"/>
        </w:rPr>
      </w:pPr>
    </w:p>
    <w:p>
      <w:pPr>
        <w:adjustRightInd w:val="0"/>
        <w:snapToGrid w:val="0"/>
        <w:spacing w:after="0" w:line="580" w:lineRule="exact"/>
        <w:ind w:firstLine="640" w:firstLineChars="200"/>
        <w:rPr>
          <w:rFonts w:hint="eastAsia" w:eastAsia="仿宋_GB2312"/>
          <w:color w:val="FF0000"/>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3.54</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2.15</w:t>
      </w:r>
      <w:r>
        <w:rPr>
          <w:rFonts w:eastAsia="仿宋_GB2312"/>
          <w:sz w:val="32"/>
          <w:szCs w:val="32"/>
        </w:rPr>
        <w:t>万元，降低</w:t>
      </w:r>
      <w:r>
        <w:rPr>
          <w:rFonts w:hint="eastAsia" w:eastAsia="仿宋_GB2312"/>
          <w:sz w:val="32"/>
          <w:szCs w:val="32"/>
          <w:lang w:val="en-US" w:eastAsia="zh-CN"/>
        </w:rPr>
        <w:t>37.79</w:t>
      </w:r>
      <w:r>
        <w:rPr>
          <w:rFonts w:eastAsia="仿宋_GB2312"/>
          <w:sz w:val="32"/>
          <w:szCs w:val="32"/>
        </w:rPr>
        <w:t>%，主要是</w:t>
      </w:r>
      <w:r>
        <w:rPr>
          <w:rFonts w:hint="eastAsia" w:eastAsia="仿宋_GB2312"/>
          <w:sz w:val="32"/>
          <w:szCs w:val="32"/>
          <w:lang w:eastAsia="zh-CN"/>
        </w:rPr>
        <w:t>节约开支，减少公车使用和公务接待次数</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1.85</w:t>
      </w:r>
      <w:r>
        <w:rPr>
          <w:rFonts w:eastAsia="仿宋_GB2312"/>
          <w:sz w:val="32"/>
          <w:szCs w:val="32"/>
        </w:rPr>
        <w:t>万元，降低</w:t>
      </w:r>
      <w:r>
        <w:rPr>
          <w:rFonts w:hint="eastAsia" w:eastAsia="仿宋_GB2312"/>
          <w:sz w:val="32"/>
          <w:szCs w:val="32"/>
          <w:lang w:val="en-US" w:eastAsia="zh-CN"/>
        </w:rPr>
        <w:t>34.22</w:t>
      </w:r>
      <w:r>
        <w:rPr>
          <w:rFonts w:eastAsia="仿宋_GB2312"/>
          <w:sz w:val="32"/>
          <w:szCs w:val="32"/>
        </w:rPr>
        <w:t>%，主要是</w:t>
      </w:r>
      <w:r>
        <w:rPr>
          <w:rFonts w:hint="eastAsia" w:eastAsia="仿宋_GB2312"/>
          <w:sz w:val="32"/>
          <w:szCs w:val="32"/>
          <w:lang w:eastAsia="zh-CN"/>
        </w:rPr>
        <w:t>节约开支，减少公车使用和公务接待次数</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0</w:t>
      </w:r>
      <w:r>
        <w:rPr>
          <w:rFonts w:eastAsia="仿宋_GB2312"/>
          <w:sz w:val="32"/>
          <w:szCs w:val="32"/>
        </w:rPr>
        <w:t>万元。</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3.54</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0.96</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21.33</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节约开支，减少公车使用</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1.05</w:t>
      </w:r>
      <w:r>
        <w:rPr>
          <w:rFonts w:eastAsia="仿宋_GB2312"/>
          <w:sz w:val="32"/>
          <w:szCs w:val="32"/>
        </w:rPr>
        <w:t>万元，降低</w:t>
      </w:r>
      <w:r>
        <w:rPr>
          <w:rFonts w:hint="eastAsia" w:eastAsia="仿宋_GB2312"/>
          <w:sz w:val="32"/>
          <w:szCs w:val="32"/>
          <w:lang w:val="en-US" w:eastAsia="zh-CN"/>
        </w:rPr>
        <w:t>22.88</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节约开支，减少公车使用</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lang w:eastAsia="zh-CN"/>
        </w:rPr>
        <w:t>较</w:t>
      </w:r>
      <w:r>
        <w:rPr>
          <w:rFonts w:eastAsia="仿宋_GB2312"/>
          <w:sz w:val="32"/>
          <w:szCs w:val="32"/>
        </w:rPr>
        <w:t>年初预算</w:t>
      </w:r>
      <w:r>
        <w:rPr>
          <w:rFonts w:hint="eastAsia" w:eastAsia="仿宋_GB2312"/>
          <w:sz w:val="32"/>
          <w:szCs w:val="32"/>
          <w:lang w:eastAsia="zh-CN"/>
        </w:rPr>
        <w:t>无增减变化</w:t>
      </w:r>
      <w:r>
        <w:rPr>
          <w:rFonts w:eastAsia="仿宋_GB2312"/>
          <w:sz w:val="32"/>
          <w:szCs w:val="32"/>
        </w:rPr>
        <w:t>；</w:t>
      </w:r>
      <w:r>
        <w:rPr>
          <w:rFonts w:hint="eastAsia" w:eastAsia="仿宋_GB2312"/>
          <w:sz w:val="32"/>
          <w:szCs w:val="32"/>
          <w:lang w:eastAsia="zh-CN"/>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3.54</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3</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0.96</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21.33</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节约开支，减少公车使用</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1.05</w:t>
      </w:r>
      <w:r>
        <w:rPr>
          <w:rFonts w:eastAsia="仿宋_GB2312"/>
          <w:sz w:val="32"/>
          <w:szCs w:val="32"/>
        </w:rPr>
        <w:t>万元，降低</w:t>
      </w:r>
      <w:r>
        <w:rPr>
          <w:rFonts w:hint="eastAsia" w:eastAsia="仿宋_GB2312"/>
          <w:sz w:val="32"/>
          <w:szCs w:val="32"/>
          <w:lang w:val="en-US" w:eastAsia="zh-CN"/>
        </w:rPr>
        <w:t>22.88</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节约开支，减少公车使用</w:t>
      </w:r>
      <w:r>
        <w:rPr>
          <w:rFonts w:eastAsia="仿宋_GB2312"/>
          <w:sz w:val="32"/>
          <w:szCs w:val="32"/>
        </w:rPr>
        <w:t>。</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0.65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12</w:t>
      </w:r>
      <w:r>
        <w:rPr>
          <w:rFonts w:eastAsia="仿宋_GB2312"/>
          <w:sz w:val="32"/>
          <w:szCs w:val="32"/>
        </w:rPr>
        <w:t>批次、</w:t>
      </w:r>
      <w:r>
        <w:rPr>
          <w:rFonts w:hint="eastAsia" w:eastAsia="仿宋_GB2312"/>
          <w:sz w:val="32"/>
          <w:szCs w:val="32"/>
          <w:lang w:val="en-US" w:eastAsia="zh-CN"/>
        </w:rPr>
        <w:t>130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0.54</w:t>
      </w:r>
      <w:r>
        <w:rPr>
          <w:rFonts w:eastAsia="仿宋_GB2312"/>
          <w:sz w:val="32"/>
          <w:szCs w:val="32"/>
        </w:rPr>
        <w:t>万元，降低</w:t>
      </w:r>
      <w:r>
        <w:rPr>
          <w:rFonts w:hint="eastAsia" w:eastAsia="仿宋_GB2312"/>
          <w:sz w:val="32"/>
          <w:szCs w:val="32"/>
          <w:lang w:val="en-US" w:eastAsia="zh-CN"/>
        </w:rPr>
        <w:t>45.38</w:t>
      </w:r>
      <w:r>
        <w:rPr>
          <w:rFonts w:eastAsia="仿宋_GB2312"/>
          <w:sz w:val="32"/>
          <w:szCs w:val="32"/>
        </w:rPr>
        <w:t>%，主要是</w:t>
      </w:r>
      <w:r>
        <w:rPr>
          <w:rFonts w:hint="eastAsia" w:eastAsia="仿宋_GB2312"/>
          <w:sz w:val="32"/>
          <w:szCs w:val="32"/>
          <w:lang w:eastAsia="zh-CN"/>
        </w:rPr>
        <w:t>节约开支以及规划编制业务的较少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0.16</w:t>
      </w:r>
      <w:r>
        <w:rPr>
          <w:rFonts w:eastAsia="仿宋_GB2312"/>
          <w:sz w:val="32"/>
          <w:szCs w:val="32"/>
        </w:rPr>
        <w:t>万元，降低</w:t>
      </w:r>
      <w:r>
        <w:rPr>
          <w:rFonts w:hint="eastAsia" w:eastAsia="仿宋_GB2312"/>
          <w:sz w:val="32"/>
          <w:szCs w:val="32"/>
          <w:lang w:val="en-US" w:eastAsia="zh-CN"/>
        </w:rPr>
        <w:t>19.75</w:t>
      </w:r>
      <w:r>
        <w:rPr>
          <w:rFonts w:eastAsia="仿宋_GB2312"/>
          <w:sz w:val="32"/>
          <w:szCs w:val="32"/>
        </w:rPr>
        <w:t>%，主要是</w:t>
      </w:r>
      <w:r>
        <w:rPr>
          <w:rFonts w:hint="eastAsia" w:eastAsia="仿宋_GB2312"/>
          <w:sz w:val="32"/>
          <w:szCs w:val="32"/>
          <w:lang w:eastAsia="zh-CN"/>
        </w:rPr>
        <w:t>节约开支以及规划编制业务的较少</w:t>
      </w:r>
      <w:r>
        <w:rPr>
          <w:rFonts w:eastAsia="仿宋_GB2312"/>
          <w:sz w:val="32"/>
          <w:szCs w:val="32"/>
        </w:rPr>
        <w:t>。</w:t>
      </w:r>
    </w:p>
    <w:p>
      <w:pPr>
        <w:keepNext w:val="0"/>
        <w:keepLines w:val="0"/>
        <w:pageBreakBefore w:val="0"/>
        <w:widowControl w:val="0"/>
        <w:kinsoku/>
        <w:wordWrap/>
        <w:overflowPunct/>
        <w:topLinePunct w:val="0"/>
        <w:bidi w:val="0"/>
        <w:adjustRightInd w:val="0"/>
        <w:snapToGrid w:val="0"/>
        <w:spacing w:after="0" w:line="560" w:lineRule="exact"/>
        <w:ind w:firstLine="640" w:firstLineChars="200"/>
        <w:textAlignment w:val="auto"/>
        <w:rPr>
          <w:rFonts w:ascii="黑体" w:eastAsia="黑体"/>
          <w:sz w:val="32"/>
          <w:szCs w:val="40"/>
        </w:rPr>
      </w:pPr>
      <w:r>
        <w:rPr>
          <w:rFonts w:hint="eastAsia" w:ascii="黑体" w:eastAsia="黑体"/>
          <w:sz w:val="32"/>
          <w:szCs w:val="40"/>
        </w:rPr>
        <w:t>六、预算绩效情况说明</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DengXian-Regular"/>
          <w:sz w:val="32"/>
          <w:szCs w:val="32"/>
        </w:rPr>
      </w:pPr>
      <w:r>
        <w:rPr>
          <w:rFonts w:hint="eastAsia" w:ascii="仿宋_GB2312" w:eastAsia="仿宋_GB2312" w:cs="DengXian-Regular"/>
          <w:sz w:val="32"/>
          <w:szCs w:val="32"/>
        </w:rPr>
        <w:t>预算绩效管理工作开</w:t>
      </w:r>
      <w:r>
        <w:rPr>
          <w:rFonts w:hint="eastAsia" w:ascii="仿宋" w:hAnsi="仿宋" w:eastAsia="仿宋"/>
          <w:sz w:val="32"/>
          <w:szCs w:val="32"/>
        </w:rPr>
        <w:t>根据县财政预算绩效管理要求，城乡规划局以“部门职责—工作活动”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widowControl w:val="0"/>
        <w:kinsoku/>
        <w:wordWrap/>
        <w:overflowPunct/>
        <w:topLinePunct w:val="0"/>
        <w:bidi w:val="0"/>
        <w:adjustRightInd w:val="0"/>
        <w:snapToGrid w:val="0"/>
        <w:spacing w:after="0" w:line="56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按照县财政预算绩效管理要求，城乡规划局</w:t>
      </w:r>
      <w:r>
        <w:rPr>
          <w:rFonts w:hint="eastAsia" w:ascii="仿宋" w:hAnsi="仿宋" w:eastAsia="仿宋"/>
          <w:sz w:val="32"/>
          <w:szCs w:val="32"/>
          <w:lang w:val="en-US" w:eastAsia="zh-CN"/>
        </w:rPr>
        <w:t>2018</w:t>
      </w:r>
      <w:r>
        <w:rPr>
          <w:rFonts w:hint="eastAsia" w:ascii="仿宋" w:hAnsi="仿宋" w:eastAsia="仿宋"/>
          <w:sz w:val="32"/>
          <w:szCs w:val="32"/>
        </w:rPr>
        <w:t xml:space="preserve"> 年年初确定的部门一般公共预算支出专项项目全面开展了绩效自评，绩效自评覆盖率达到 100%。</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 w:eastAsia="仿宋_GB2312" w:cs="Calibri"/>
          <w:sz w:val="32"/>
          <w:szCs w:val="32"/>
        </w:rPr>
      </w:pPr>
      <w:r>
        <w:rPr>
          <w:rFonts w:hint="eastAsia" w:ascii="仿宋_GB2312" w:hAnsi="仿宋" w:eastAsia="仿宋_GB2312" w:cs="Calibri"/>
          <w:sz w:val="32"/>
          <w:szCs w:val="32"/>
        </w:rPr>
        <w:t>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绩效自评覆盖率达到100%。</w:t>
      </w:r>
    </w:p>
    <w:p>
      <w:pPr>
        <w:keepNext w:val="0"/>
        <w:keepLines w:val="0"/>
        <w:pageBreakBefore w:val="0"/>
        <w:widowControl w:val="0"/>
        <w:numPr>
          <w:ilvl w:val="0"/>
          <w:numId w:val="0"/>
        </w:numPr>
        <w:kinsoku/>
        <w:wordWrap/>
        <w:overflowPunct/>
        <w:topLinePunct w:val="0"/>
        <w:bidi w:val="0"/>
        <w:adjustRightInd w:val="0"/>
        <w:snapToGrid w:val="0"/>
        <w:spacing w:after="0" w:line="560" w:lineRule="exact"/>
        <w:ind w:leftChars="200"/>
        <w:textAlignment w:val="auto"/>
        <w:rPr>
          <w:rFonts w:hint="eastAsia" w:ascii="仿宋_GB2312" w:eastAsia="仿宋_GB2312" w:cs="DengXian-Regular"/>
          <w:sz w:val="32"/>
          <w:szCs w:val="32"/>
        </w:rPr>
      </w:pP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三）</w:t>
      </w:r>
      <w:r>
        <w:rPr>
          <w:rFonts w:hint="eastAsia" w:ascii="仿宋_GB2312" w:eastAsia="仿宋_GB2312" w:cs="DengXian-Regular"/>
          <w:sz w:val="32"/>
          <w:szCs w:val="32"/>
        </w:rPr>
        <w:t>重点项目绩效评价结果。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2018</w:t>
      </w:r>
      <w:r>
        <w:rPr>
          <w:rFonts w:hint="eastAsia" w:ascii="仿宋_GB2312" w:hAnsi="仿宋" w:eastAsia="仿宋_GB2312"/>
          <w:sz w:val="32"/>
          <w:szCs w:val="32"/>
        </w:rPr>
        <w:t>年，根据县政府工作部署，安排我局会同民政、交通等部门对全县标识系统进行统一规划。规划主要为了明确城市各个区域、建筑、道路交通、重要节点的信息指示，体现新城的人性化、系统化城市面貌，方便市民准确的定位和到达目的地，合理规划标识系统编制此规划。因县委第十一次党代会对我县总体工作提出了新要求，特别是文化产业、全域旅游为两大抓手及“四个标准化”的提出，对于此项规划的编制影响较大，规划内容及水准还需进一步提升。</w:t>
      </w:r>
      <w:r>
        <w:rPr>
          <w:rFonts w:hint="eastAsia" w:ascii="仿宋_GB2312" w:hAnsi="仿宋" w:eastAsia="仿宋_GB2312" w:cs="Calibri"/>
          <w:color w:val="000000"/>
          <w:sz w:val="32"/>
          <w:szCs w:val="32"/>
        </w:rPr>
        <w:t>绩效自评等级为“优秀”。</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100.50</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47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46.77</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日常维护费、专用材料及一般设备购置费及办公用房水电费的增加</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27.23</w:t>
      </w:r>
      <w:r>
        <w:rPr>
          <w:rFonts w:eastAsia="仿宋_GB2312"/>
          <w:sz w:val="32"/>
          <w:szCs w:val="32"/>
        </w:rPr>
        <w:t>万元，降低</w:t>
      </w:r>
      <w:r>
        <w:rPr>
          <w:rFonts w:hint="eastAsia" w:eastAsia="仿宋_GB2312"/>
          <w:sz w:val="32"/>
          <w:szCs w:val="32"/>
          <w:lang w:val="en-US" w:eastAsia="zh-CN"/>
        </w:rPr>
        <w:t>21.32</w:t>
      </w:r>
      <w:r>
        <w:rPr>
          <w:rFonts w:eastAsia="仿宋_GB2312"/>
          <w:sz w:val="32"/>
          <w:szCs w:val="32"/>
        </w:rPr>
        <w:t>%，主要是</w:t>
      </w:r>
      <w:r>
        <w:rPr>
          <w:rFonts w:hint="eastAsia" w:eastAsia="仿宋_GB2312"/>
          <w:sz w:val="32"/>
          <w:szCs w:val="32"/>
          <w:lang w:eastAsia="zh-CN"/>
        </w:rPr>
        <w:t>节约各项开支以及规划业务费用的减少</w:t>
      </w:r>
      <w:r>
        <w:rPr>
          <w:rFonts w:eastAsia="仿宋_GB2312"/>
          <w:sz w:val="32"/>
          <w:szCs w:val="32"/>
        </w:rPr>
        <w:t>。</w:t>
      </w:r>
    </w:p>
    <w:p>
      <w:pPr>
        <w:pStyle w:val="4"/>
        <w:numPr>
          <w:ilvl w:val="0"/>
          <w:numId w:val="3"/>
        </w:numPr>
        <w:spacing w:before="0" w:after="0" w:line="580" w:lineRule="exact"/>
        <w:ind w:firstLine="643" w:firstLineChars="200"/>
        <w:rPr>
          <w:rFonts w:hint="eastAsia" w:ascii="楷体_GB2312" w:eastAsia="楷体_GB2312" w:cs="DengXian-Bold"/>
        </w:rPr>
      </w:pPr>
      <w:r>
        <w:rPr>
          <w:rFonts w:hint="eastAsia" w:ascii="楷体_GB2312" w:eastAsia="楷体_GB2312" w:cs="DengXian-Bold"/>
        </w:rPr>
        <w:t>政府采购情况</w:t>
      </w:r>
    </w:p>
    <w:p>
      <w:pPr>
        <w:numPr>
          <w:ilvl w:val="0"/>
          <w:numId w:val="0"/>
        </w:numPr>
        <w:rPr>
          <w:rFonts w:hint="default" w:eastAsia="宋体"/>
          <w:highlight w:val="none"/>
          <w:lang w:val="en-US" w:eastAsia="zh-CN"/>
        </w:rPr>
      </w:pPr>
      <w:r>
        <w:rPr>
          <w:rFonts w:hint="eastAsia"/>
          <w:lang w:val="en-US" w:eastAsia="zh-CN"/>
        </w:rPr>
        <w:t xml:space="preserve">       </w:t>
      </w: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2552.8</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2552.8</w:t>
      </w:r>
      <w:r>
        <w:rPr>
          <w:rFonts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highlight w:val="none"/>
        </w:rPr>
        <w:t>占政府采购支出总额的</w:t>
      </w:r>
      <w:r>
        <w:rPr>
          <w:rFonts w:hint="eastAsia" w:ascii="仿宋_GB2312" w:hAnsi="仿宋_GB2312" w:eastAsia="仿宋_GB2312" w:cs="仿宋_GB2312"/>
          <w:color w:val="000000"/>
          <w:kern w:val="0"/>
          <w:sz w:val="32"/>
          <w:szCs w:val="32"/>
          <w:highlight w:val="none"/>
          <w:lang w:val="en-US" w:eastAsia="zh-CN"/>
        </w:rPr>
        <w:t>100</w:t>
      </w:r>
      <w:r>
        <w:rPr>
          <w:rFonts w:ascii="仿宋_GB2312" w:hAnsi="仿宋_GB2312" w:eastAsia="仿宋_GB2312" w:cs="仿宋_GB2312"/>
          <w:color w:val="000000"/>
          <w:kern w:val="0"/>
          <w:sz w:val="32"/>
          <w:szCs w:val="32"/>
          <w:highlight w:val="none"/>
        </w:rPr>
        <w:t>%。。授予中小企业合同金</w:t>
      </w:r>
      <w:r>
        <w:rPr>
          <w:rFonts w:hint="eastAsia" w:ascii="仿宋_GB2312" w:hAnsi="仿宋_GB2312" w:eastAsia="仿宋_GB2312" w:cs="仿宋_GB2312"/>
          <w:color w:val="000000"/>
          <w:kern w:val="0"/>
          <w:sz w:val="32"/>
          <w:szCs w:val="32"/>
          <w:highlight w:val="none"/>
          <w:lang w:val="en-US" w:eastAsia="zh-CN"/>
        </w:rPr>
        <w:t>0</w:t>
      </w:r>
      <w:r>
        <w:rPr>
          <w:rFonts w:ascii="仿宋_GB2312" w:hAnsi="仿宋_GB2312" w:eastAsia="仿宋_GB2312" w:cs="仿宋_GB2312"/>
          <w:color w:val="000000"/>
          <w:kern w:val="0"/>
          <w:sz w:val="32"/>
          <w:szCs w:val="32"/>
          <w:highlight w:val="none"/>
        </w:rPr>
        <w:t>万元，占政府采购支出总额的</w:t>
      </w:r>
      <w:r>
        <w:rPr>
          <w:rFonts w:hint="eastAsia" w:ascii="仿宋_GB2312" w:hAnsi="仿宋_GB2312" w:eastAsia="仿宋_GB2312" w:cs="仿宋_GB2312"/>
          <w:color w:val="000000"/>
          <w:kern w:val="0"/>
          <w:sz w:val="32"/>
          <w:szCs w:val="32"/>
          <w:highlight w:val="none"/>
          <w:lang w:val="en-US" w:eastAsia="zh-CN"/>
        </w:rPr>
        <w:t>0</w:t>
      </w:r>
      <w:r>
        <w:rPr>
          <w:rFonts w:hint="eastAsia" w:ascii="仿宋_GB2312" w:hAnsi="仿宋_GB2312" w:eastAsia="仿宋_GB2312" w:cs="仿宋_GB2312"/>
          <w:color w:val="000000"/>
          <w:kern w:val="0"/>
          <w:sz w:val="32"/>
          <w:szCs w:val="32"/>
          <w:highlight w:val="none"/>
        </w:rPr>
        <w:t>%，</w:t>
      </w:r>
      <w:r>
        <w:rPr>
          <w:rFonts w:ascii="仿宋_GB2312" w:hAnsi="仿宋_GB2312" w:eastAsia="仿宋_GB2312" w:cs="仿宋_GB2312"/>
          <w:color w:val="000000"/>
          <w:kern w:val="0"/>
          <w:sz w:val="32"/>
          <w:szCs w:val="32"/>
          <w:highlight w:val="none"/>
        </w:rPr>
        <w:t>其中授予小微企业合同金额</w:t>
      </w:r>
      <w:r>
        <w:rPr>
          <w:rFonts w:hint="eastAsia" w:ascii="仿宋_GB2312" w:hAnsi="仿宋_GB2312" w:eastAsia="仿宋_GB2312" w:cs="仿宋_GB2312"/>
          <w:color w:val="000000"/>
          <w:kern w:val="0"/>
          <w:sz w:val="32"/>
          <w:szCs w:val="32"/>
          <w:highlight w:val="none"/>
          <w:lang w:val="en-US" w:eastAsia="zh-CN"/>
        </w:rPr>
        <w:t>0</w:t>
      </w:r>
      <w:r>
        <w:rPr>
          <w:rFonts w:ascii="仿宋_GB2312" w:hAnsi="仿宋_GB2312" w:eastAsia="仿宋_GB2312" w:cs="仿宋_GB2312"/>
          <w:color w:val="000000"/>
          <w:kern w:val="0"/>
          <w:sz w:val="32"/>
          <w:szCs w:val="32"/>
          <w:highlight w:val="none"/>
        </w:rPr>
        <w:t xml:space="preserve">万元，占政府采购支出总额的 </w:t>
      </w:r>
      <w:r>
        <w:rPr>
          <w:rFonts w:hint="eastAsia" w:ascii="仿宋_GB2312" w:hAnsi="仿宋_GB2312" w:eastAsia="仿宋_GB2312" w:cs="仿宋_GB2312"/>
          <w:color w:val="000000"/>
          <w:kern w:val="0"/>
          <w:sz w:val="32"/>
          <w:szCs w:val="32"/>
          <w:highlight w:val="none"/>
          <w:lang w:val="en-US" w:eastAsia="zh-CN"/>
        </w:rPr>
        <w:t>0</w:t>
      </w:r>
      <w:r>
        <w:rPr>
          <w:rFonts w:ascii="仿宋_GB2312" w:hAnsi="仿宋_GB2312" w:eastAsia="仿宋_GB2312" w:cs="仿宋_GB2312"/>
          <w:color w:val="000000"/>
          <w:kern w:val="0"/>
          <w:sz w:val="32"/>
          <w:szCs w:val="32"/>
          <w:highlight w:val="none"/>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w:t>
      </w:r>
      <w:bookmarkStart w:id="0" w:name="_GoBack"/>
      <w:bookmarkEnd w:id="0"/>
      <w:r>
        <w:rPr>
          <w:rFonts w:hint="eastAsia" w:ascii="仿宋_GB2312" w:eastAsia="仿宋_GB2312" w:cs="DengXian-Regular"/>
          <w:sz w:val="32"/>
          <w:szCs w:val="32"/>
          <w:lang w:eastAsia="zh-CN"/>
        </w:rPr>
        <w:t>与上年相比无变化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与上年比较无增减变化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 w:hAnsi="仿宋" w:eastAsia="仿宋" w:cs="仿宋"/>
          <w:bCs/>
          <w:sz w:val="32"/>
          <w:szCs w:val="32"/>
        </w:rPr>
        <w:t>政府性基金预算财政拨款、国有资本经营预算财政拨款和政府采购</w:t>
      </w:r>
      <w:r>
        <w:rPr>
          <w:rFonts w:hint="eastAsia" w:ascii="仿宋_GB2312" w:eastAsia="仿宋_GB2312" w:cs="DengXian-Regular"/>
          <w:sz w:val="32"/>
          <w:szCs w:val="32"/>
        </w:rPr>
        <w:t>无收支及结转结余情况，故</w:t>
      </w:r>
      <w:r>
        <w:rPr>
          <w:rFonts w:hint="eastAsia" w:ascii="仿宋" w:hAnsi="仿宋" w:eastAsia="仿宋" w:cs="仿宋"/>
          <w:bCs/>
          <w:sz w:val="32"/>
          <w:szCs w:val="32"/>
        </w:rPr>
        <w:t>政府性基金预算财政拨款、国有资本经营预算财政拨款和政府采购</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line="1200" w:lineRule="exact"/>
        <w:jc w:val="both"/>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bidi w:val="0"/>
      </w:pPr>
      <w:r>
        <w:rPr>
          <w:rFonts w:hint="eastAsia"/>
        </w:rPr>
        <w:t>（一）财政拨款收入：本年度从本级财政部门取得的财政拨款，包括一般公共预算财政拨款和政府性基金预算财政拨款。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5653F16-AD2B-4208-AE44-7DFF0BE2D971}"/>
  </w:font>
  <w:font w:name="黑体">
    <w:panose1 w:val="02010609060101010101"/>
    <w:charset w:val="86"/>
    <w:family w:val="auto"/>
    <w:pitch w:val="default"/>
    <w:sig w:usb0="800002BF" w:usb1="38CF7CFA" w:usb2="00000016" w:usb3="00000000" w:csb0="00040001" w:csb1="00000000"/>
    <w:embedRegular r:id="rId2" w:fontKey="{2759905C-3318-4100-8536-D2B3FB0E9A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80E2A102-9C19-4F56-835E-AA8D5164715A}"/>
  </w:font>
  <w:font w:name="Cambria">
    <w:panose1 w:val="02040503050406030204"/>
    <w:charset w:val="00"/>
    <w:family w:val="roman"/>
    <w:pitch w:val="default"/>
    <w:sig w:usb0="E00002FF" w:usb1="400004FF" w:usb2="00000000" w:usb3="00000000" w:csb0="2000019F" w:csb1="00000000"/>
    <w:embedRegular r:id="rId4" w:fontKey="{FAC8F4B5-1BF2-4528-A65A-5912A87F9342}"/>
  </w:font>
  <w:font w:name="仿宋_GB2312">
    <w:panose1 w:val="02010609030101010101"/>
    <w:charset w:val="86"/>
    <w:family w:val="modern"/>
    <w:pitch w:val="default"/>
    <w:sig w:usb0="00000000" w:usb1="00000000" w:usb2="00000000" w:usb3="00000000" w:csb0="00000000" w:csb1="00000000"/>
    <w:embedRegular r:id="rId5" w:fontKey="{7CA5867B-1488-43C5-84BA-DA36B00DA3AC}"/>
  </w:font>
  <w:font w:name="楷体">
    <w:panose1 w:val="02010609060101010101"/>
    <w:charset w:val="86"/>
    <w:family w:val="modern"/>
    <w:pitch w:val="default"/>
    <w:sig w:usb0="800002BF" w:usb1="38CF7CFA" w:usb2="00000016" w:usb3="00000000" w:csb0="00040001" w:csb1="00000000"/>
    <w:embedRegular r:id="rId6" w:fontKey="{FE38B4DA-BCF7-49F6-91F9-9A5F36F5A6D5}"/>
  </w:font>
  <w:font w:name="ArialUnicodeMS">
    <w:altName w:val="Malgun Gothic"/>
    <w:panose1 w:val="00000000000000000000"/>
    <w:charset w:val="81"/>
    <w:family w:val="auto"/>
    <w:pitch w:val="default"/>
    <w:sig w:usb0="00000000" w:usb1="00000000" w:usb2="00000010" w:usb3="00000000" w:csb0="00080001" w:csb1="00000000"/>
    <w:embedRegular r:id="rId7" w:fontKey="{F67DB1AA-60C0-4F20-898D-52675D4F82A9}"/>
  </w:font>
  <w:font w:name="仿宋">
    <w:panose1 w:val="02010609060101010101"/>
    <w:charset w:val="86"/>
    <w:family w:val="modern"/>
    <w:pitch w:val="default"/>
    <w:sig w:usb0="800002BF" w:usb1="38CF7CFA" w:usb2="00000016" w:usb3="00000000" w:csb0="00040001" w:csb1="00000000"/>
    <w:embedRegular r:id="rId8" w:fontKey="{4D09E6BD-3C33-4AF1-9416-254C546E3BB2}"/>
  </w:font>
  <w:font w:name="MS-UIGothic,Bold">
    <w:altName w:val="Malgun Gothic"/>
    <w:panose1 w:val="00000000000000000000"/>
    <w:charset w:val="81"/>
    <w:family w:val="auto"/>
    <w:pitch w:val="default"/>
    <w:sig w:usb0="00000000" w:usb1="00000000" w:usb2="00000010" w:usb3="00000000" w:csb0="00080000" w:csb1="00000000"/>
    <w:embedRegular r:id="rId9" w:fontKey="{92C619FE-78C7-458A-8E9B-91ED0BF14E23}"/>
  </w:font>
  <w:font w:name="DengXian-Regular">
    <w:altName w:val="宋体"/>
    <w:panose1 w:val="00000000000000000000"/>
    <w:charset w:val="86"/>
    <w:family w:val="auto"/>
    <w:pitch w:val="default"/>
    <w:sig w:usb0="00000000" w:usb1="00000000" w:usb2="00000010" w:usb3="00000000" w:csb0="00040001" w:csb1="00000000"/>
    <w:embedRegular r:id="rId10" w:fontKey="{D1CBEA12-EDDC-4E34-9654-B6EF26B3B198}"/>
  </w:font>
  <w:font w:name="楷体_GB2312">
    <w:panose1 w:val="02010609030101010101"/>
    <w:charset w:val="86"/>
    <w:family w:val="modern"/>
    <w:pitch w:val="default"/>
    <w:sig w:usb0="00000000" w:usb1="00000000" w:usb2="00000000" w:usb3="00000000" w:csb0="00000000" w:csb1="00000000"/>
    <w:embedRegular r:id="rId11" w:fontKey="{D1D3BC1F-A565-4059-8573-C85E393B1F3C}"/>
  </w:font>
  <w:font w:name="DengXian-Bold">
    <w:altName w:val="宋体"/>
    <w:panose1 w:val="00000000000000000000"/>
    <w:charset w:val="86"/>
    <w:family w:val="auto"/>
    <w:pitch w:val="default"/>
    <w:sig w:usb0="00000000" w:usb1="00000000" w:usb2="00000010" w:usb3="00000000" w:csb0="00040001" w:csb1="00000000"/>
    <w:embedRegular r:id="rId12" w:fontKey="{5B22E563-E0D9-4DAC-854D-50D32C8805A7}"/>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FE7B6"/>
    <w:multiLevelType w:val="singleLevel"/>
    <w:tmpl w:val="D5CFE7B6"/>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C62DCE3"/>
    <w:multiLevelType w:val="singleLevel"/>
    <w:tmpl w:val="5C62DCE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5557101"/>
    <w:rsid w:val="05567B2F"/>
    <w:rsid w:val="06185C59"/>
    <w:rsid w:val="0744255A"/>
    <w:rsid w:val="09362306"/>
    <w:rsid w:val="09537EBF"/>
    <w:rsid w:val="098C610A"/>
    <w:rsid w:val="0A0055F2"/>
    <w:rsid w:val="0B60750A"/>
    <w:rsid w:val="0CC3578D"/>
    <w:rsid w:val="0EA854AF"/>
    <w:rsid w:val="10686488"/>
    <w:rsid w:val="10DF728A"/>
    <w:rsid w:val="11805CCB"/>
    <w:rsid w:val="126234FB"/>
    <w:rsid w:val="1264200E"/>
    <w:rsid w:val="134E39B5"/>
    <w:rsid w:val="13A22050"/>
    <w:rsid w:val="141C5B77"/>
    <w:rsid w:val="159310F3"/>
    <w:rsid w:val="15F60DBA"/>
    <w:rsid w:val="171B5B49"/>
    <w:rsid w:val="181D46F9"/>
    <w:rsid w:val="18D8339D"/>
    <w:rsid w:val="18EC654B"/>
    <w:rsid w:val="19F16624"/>
    <w:rsid w:val="1A21388F"/>
    <w:rsid w:val="1A570D2F"/>
    <w:rsid w:val="1BA951F8"/>
    <w:rsid w:val="1C0C66D1"/>
    <w:rsid w:val="1C7B61AE"/>
    <w:rsid w:val="1D265214"/>
    <w:rsid w:val="1E611491"/>
    <w:rsid w:val="1FAC2D1C"/>
    <w:rsid w:val="21D6368C"/>
    <w:rsid w:val="24145FBD"/>
    <w:rsid w:val="24BE371C"/>
    <w:rsid w:val="27D15BCF"/>
    <w:rsid w:val="28CB398C"/>
    <w:rsid w:val="28FB0B8D"/>
    <w:rsid w:val="2AB96FEB"/>
    <w:rsid w:val="2BBB306D"/>
    <w:rsid w:val="2D2B7942"/>
    <w:rsid w:val="2D46481D"/>
    <w:rsid w:val="2E733B28"/>
    <w:rsid w:val="2F9420A9"/>
    <w:rsid w:val="31852B5A"/>
    <w:rsid w:val="32D01238"/>
    <w:rsid w:val="348B3104"/>
    <w:rsid w:val="3649130F"/>
    <w:rsid w:val="36971D69"/>
    <w:rsid w:val="369B35C5"/>
    <w:rsid w:val="36BC5A5D"/>
    <w:rsid w:val="38E33B0A"/>
    <w:rsid w:val="3AD86855"/>
    <w:rsid w:val="3D2108FE"/>
    <w:rsid w:val="3D647581"/>
    <w:rsid w:val="3DFC59A8"/>
    <w:rsid w:val="3E384321"/>
    <w:rsid w:val="3E956304"/>
    <w:rsid w:val="3ECF245E"/>
    <w:rsid w:val="3EFF7850"/>
    <w:rsid w:val="3FB96314"/>
    <w:rsid w:val="3FC257F5"/>
    <w:rsid w:val="3FC41A35"/>
    <w:rsid w:val="40016535"/>
    <w:rsid w:val="4029653E"/>
    <w:rsid w:val="40543993"/>
    <w:rsid w:val="42721937"/>
    <w:rsid w:val="42B138C9"/>
    <w:rsid w:val="47C14094"/>
    <w:rsid w:val="496F1216"/>
    <w:rsid w:val="4A83696A"/>
    <w:rsid w:val="4BAE7B97"/>
    <w:rsid w:val="4C2E5B5F"/>
    <w:rsid w:val="4D1C7D77"/>
    <w:rsid w:val="4F455103"/>
    <w:rsid w:val="4F746AE3"/>
    <w:rsid w:val="505F3ACE"/>
    <w:rsid w:val="53A44FAF"/>
    <w:rsid w:val="5565122C"/>
    <w:rsid w:val="56116991"/>
    <w:rsid w:val="577B4E1D"/>
    <w:rsid w:val="594329EC"/>
    <w:rsid w:val="5A5C45BB"/>
    <w:rsid w:val="5B1B37F2"/>
    <w:rsid w:val="5BEE1540"/>
    <w:rsid w:val="5DE61A5D"/>
    <w:rsid w:val="5E3659AF"/>
    <w:rsid w:val="5E6347E1"/>
    <w:rsid w:val="639532B7"/>
    <w:rsid w:val="63C04243"/>
    <w:rsid w:val="649C01C7"/>
    <w:rsid w:val="65111791"/>
    <w:rsid w:val="699A3F60"/>
    <w:rsid w:val="6A097DCC"/>
    <w:rsid w:val="6C2663D0"/>
    <w:rsid w:val="6EED264A"/>
    <w:rsid w:val="6F671625"/>
    <w:rsid w:val="72902E62"/>
    <w:rsid w:val="72B4671A"/>
    <w:rsid w:val="73C61104"/>
    <w:rsid w:val="752F1626"/>
    <w:rsid w:val="755A30ED"/>
    <w:rsid w:val="76321B56"/>
    <w:rsid w:val="76497AF0"/>
    <w:rsid w:val="76AD5758"/>
    <w:rsid w:val="76C25F32"/>
    <w:rsid w:val="776452EA"/>
    <w:rsid w:val="78CF4032"/>
    <w:rsid w:val="7BE65C95"/>
    <w:rsid w:val="7C6A4786"/>
    <w:rsid w:val="7DC663B9"/>
    <w:rsid w:val="7DF6174A"/>
    <w:rsid w:val="7ECA687E"/>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0%</c:formatCode>
                <c:ptCount val="4"/>
                <c:pt idx="0">
                  <c:v>1</c:v>
                </c:pt>
                <c:pt idx="1" c:formatCode="General">
                  <c:v>0</c:v>
                </c:pt>
                <c:pt idx="2" c:formatCode="General">
                  <c:v>0</c:v>
                </c:pt>
                <c:pt idx="3"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0.00%</c:formatCode>
                <c:ptCount val="4"/>
                <c:pt idx="0">
                  <c:v>0.4419</c:v>
                </c:pt>
                <c:pt idx="1">
                  <c:v>0.5581</c:v>
                </c:pt>
                <c:pt idx="2"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财政拨款收支情况表（单位：万元)</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本年收入</c:v>
                </c:pt>
                <c:pt idx="1">
                  <c:v>本年支出</c:v>
                </c:pt>
              </c:strCache>
            </c:strRef>
          </c:cat>
          <c:val>
            <c:numRef>
              <c:f>Sheet1!$B$2:$B$5</c:f>
              <c:numCache>
                <c:formatCode>General</c:formatCode>
                <c:ptCount val="4"/>
                <c:pt idx="0">
                  <c:v>2611.38</c:v>
                </c:pt>
                <c:pt idx="1">
                  <c:v>1933.78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88877964639931"/>
          <c:y val="0.18193374162992"/>
          <c:w val="0.9268"/>
          <c:h val="0.717233333333333"/>
        </c:manualLayout>
      </c:layout>
      <c:barChart>
        <c:barDir val="col"/>
        <c:grouping val="clustered"/>
        <c:varyColors val="0"/>
        <c:ser>
          <c:idx val="0"/>
          <c:order val="0"/>
          <c:tx>
            <c:strRef>
              <c:f>Sheet1!$B$2</c:f>
              <c:strCache>
                <c:ptCount val="1"/>
                <c:pt idx="0">
                  <c:v>预算</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收入</c:v>
                </c:pt>
                <c:pt idx="1">
                  <c:v>支出</c:v>
                </c:pt>
              </c:strCache>
            </c:strRef>
          </c:cat>
          <c:val>
            <c:numRef>
              <c:f>Sheet1!$B$3:$B$4</c:f>
              <c:numCache>
                <c:formatCode>General</c:formatCode>
                <c:ptCount val="2"/>
                <c:pt idx="0">
                  <c:v>2780.2</c:v>
                </c:pt>
                <c:pt idx="1">
                  <c:v>2780.2</c:v>
                </c:pt>
              </c:numCache>
            </c:numRef>
          </c:val>
        </c:ser>
        <c:ser>
          <c:idx val="1"/>
          <c:order val="1"/>
          <c:tx>
            <c:strRef>
              <c:f>Sheet1!$C$2</c:f>
              <c:strCache>
                <c:ptCount val="1"/>
                <c:pt idx="0">
                  <c:v>决算</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收入</c:v>
                </c:pt>
                <c:pt idx="1">
                  <c:v>支出</c:v>
                </c:pt>
              </c:strCache>
            </c:strRef>
          </c:cat>
          <c:val>
            <c:numRef>
              <c:f>Sheet1!$C$3:$C$4</c:f>
              <c:numCache>
                <c:formatCode>General</c:formatCode>
                <c:ptCount val="2"/>
                <c:pt idx="0">
                  <c:v>2611.38</c:v>
                </c:pt>
                <c:pt idx="1">
                  <c:v>1933.78</c:v>
                </c:pt>
              </c:numCache>
            </c:numRef>
          </c:val>
        </c:ser>
        <c:dLbls>
          <c:showLegendKey val="0"/>
          <c:showVal val="1"/>
          <c:showCatName val="0"/>
          <c:showSerName val="0"/>
          <c:showPercent val="0"/>
          <c:showBubbleSize val="0"/>
        </c:dLbls>
        <c:gapWidth val="219"/>
        <c:overlap val="-27"/>
        <c:axId val="758111060"/>
        <c:axId val="455069589"/>
      </c:barChart>
      <c:catAx>
        <c:axId val="7581110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069589"/>
        <c:crosses val="autoZero"/>
        <c:auto val="1"/>
        <c:lblAlgn val="ctr"/>
        <c:lblOffset val="100"/>
        <c:noMultiLvlLbl val="0"/>
      </c:catAx>
      <c:valAx>
        <c:axId val="4550695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1110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基本支出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Lbl>
              <c:idx val="0"/>
              <c:layout>
                <c:manualLayout>
                  <c:x val="0.153681854064299"/>
                  <c:y val="-0.03953727482896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5339211569301"/>
                  <c:y val="0.1071849718550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3256523569903"/>
                  <c:y val="-0.000537242256604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医疗卫生与计划生育支出</c:v>
                </c:pt>
                <c:pt idx="2">
                  <c:v>城乡社区支出</c:v>
                </c:pt>
                <c:pt idx="3">
                  <c:v>住房保障支出</c:v>
                </c:pt>
              </c:strCache>
            </c:strRef>
          </c:cat>
          <c:val>
            <c:numRef>
              <c:f>Sheet1!$B$2:$B$5</c:f>
              <c:numCache>
                <c:formatCode>0.00%</c:formatCode>
                <c:ptCount val="4"/>
                <c:pt idx="0">
                  <c:v>0.0378</c:v>
                </c:pt>
                <c:pt idx="1">
                  <c:v>0.0138</c:v>
                </c:pt>
                <c:pt idx="2">
                  <c:v>0.9255</c:v>
                </c:pt>
                <c:pt idx="3">
                  <c:v>0.023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19</TotalTime>
  <ScaleCrop>false</ScaleCrop>
  <LinksUpToDate>false</LinksUpToDate>
  <CharactersWithSpaces>11081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2019-11-13T02:29:32Z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